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EF024" w14:textId="27768289" w:rsidR="005877BD" w:rsidRPr="005877BD" w:rsidRDefault="005877BD" w:rsidP="005877BD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877BD">
        <w:rPr>
          <w:rFonts w:asciiTheme="minorHAnsi" w:hAnsiTheme="minorHAnsi" w:cstheme="minorHAnsi"/>
          <w:b/>
          <w:bCs/>
          <w:color w:val="auto"/>
          <w:sz w:val="32"/>
          <w:szCs w:val="32"/>
        </w:rPr>
        <w:t>TRAINING IN TITLE IX AND CLERY ACT AT LIBI</w:t>
      </w:r>
    </w:p>
    <w:p w14:paraId="4483216E" w14:textId="6391088A" w:rsidR="0079558D" w:rsidRPr="005877BD" w:rsidRDefault="005877BD" w:rsidP="005877BD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877BD">
        <w:rPr>
          <w:rFonts w:asciiTheme="minorHAnsi" w:hAnsiTheme="minorHAnsi" w:cstheme="minorHAnsi"/>
          <w:b/>
          <w:bCs/>
          <w:color w:val="auto"/>
          <w:sz w:val="32"/>
          <w:szCs w:val="32"/>
        </w:rPr>
        <w:t>TITLE IX COORDINATORS</w:t>
      </w:r>
      <w:r w:rsidR="00A7795F">
        <w:rPr>
          <w:rFonts w:asciiTheme="minorHAnsi" w:hAnsiTheme="minorHAnsi" w:cstheme="minorHAnsi"/>
          <w:b/>
          <w:bCs/>
          <w:color w:val="auto"/>
          <w:sz w:val="32"/>
          <w:szCs w:val="32"/>
        </w:rPr>
        <w:t>’</w:t>
      </w:r>
      <w:r w:rsidRPr="005877BD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TRAINING</w:t>
      </w:r>
    </w:p>
    <w:p w14:paraId="5FD91E91" w14:textId="77777777" w:rsidR="005877BD" w:rsidRPr="005877BD" w:rsidRDefault="005877BD" w:rsidP="00F4604E">
      <w:pPr>
        <w:spacing w:after="0"/>
        <w:jc w:val="both"/>
        <w:rPr>
          <w:rFonts w:asciiTheme="minorHAnsi" w:hAnsiTheme="minorHAnsi"/>
        </w:rPr>
      </w:pPr>
    </w:p>
    <w:p w14:paraId="7C2F6F5C" w14:textId="42B31113" w:rsidR="00E93FD7" w:rsidRDefault="00F121A1" w:rsidP="00F4604E">
      <w:pPr>
        <w:spacing w:after="0"/>
        <w:jc w:val="both"/>
      </w:pPr>
      <w:r>
        <w:t xml:space="preserve">The </w:t>
      </w:r>
      <w:r w:rsidRPr="002F672C">
        <w:rPr>
          <w:b/>
          <w:bCs/>
        </w:rPr>
        <w:t>Title IX Coordinators</w:t>
      </w:r>
      <w:r>
        <w:t xml:space="preserve"> at </w:t>
      </w:r>
      <w:r w:rsidRPr="002B0589">
        <w:rPr>
          <w:b/>
          <w:bCs/>
        </w:rPr>
        <w:t>Long Island Business Institute</w:t>
      </w:r>
      <w:r>
        <w:t xml:space="preserve"> attended extensive training on both the </w:t>
      </w:r>
      <w:r w:rsidRPr="00D75A07">
        <w:rPr>
          <w:b/>
          <w:bCs/>
          <w:i/>
          <w:iCs/>
        </w:rPr>
        <w:t>Title IX</w:t>
      </w:r>
      <w:r>
        <w:t xml:space="preserve"> and </w:t>
      </w:r>
      <w:r w:rsidRPr="00D75A07">
        <w:rPr>
          <w:b/>
          <w:bCs/>
          <w:i/>
          <w:iCs/>
        </w:rPr>
        <w:t>Clery Act</w:t>
      </w:r>
      <w:r>
        <w:t xml:space="preserve"> regulations. This training</w:t>
      </w:r>
      <w:r w:rsidR="0060048D">
        <w:t>,</w:t>
      </w:r>
      <w:r w:rsidR="002F672C">
        <w:t xml:space="preserve"> in several </w:t>
      </w:r>
      <w:r w:rsidR="00AA4155">
        <w:t xml:space="preserve">distributed </w:t>
      </w:r>
      <w:r w:rsidR="002F672C">
        <w:t>formats</w:t>
      </w:r>
      <w:r w:rsidR="0060048D">
        <w:t xml:space="preserve"> </w:t>
      </w:r>
      <w:r w:rsidR="00E024B9">
        <w:t xml:space="preserve">which included </w:t>
      </w:r>
      <w:r w:rsidR="0060048D">
        <w:t>online courses, webinars, internal and external facilitations,</w:t>
      </w:r>
      <w:r w:rsidR="002F672C">
        <w:t xml:space="preserve"> allowed for diverse viewpoints from </w:t>
      </w:r>
      <w:r w:rsidR="004C1B39">
        <w:t xml:space="preserve">subject matter </w:t>
      </w:r>
      <w:r w:rsidR="002F672C">
        <w:t xml:space="preserve">experts </w:t>
      </w:r>
      <w:r w:rsidR="004C1B39">
        <w:t xml:space="preserve">on </w:t>
      </w:r>
      <w:r w:rsidR="002F672C">
        <w:t xml:space="preserve">sexual harassment and other reportable crimes. With major changes to Title IX and the Clery Act in 2020, </w:t>
      </w:r>
      <w:r w:rsidR="004C1B39">
        <w:t xml:space="preserve">it is </w:t>
      </w:r>
      <w:r w:rsidR="00057D9C">
        <w:t xml:space="preserve">vital </w:t>
      </w:r>
      <w:r w:rsidR="004C1B39">
        <w:t xml:space="preserve">for Title IX Coordinators to </w:t>
      </w:r>
      <w:r w:rsidR="00057D9C">
        <w:t>keep abreast of</w:t>
      </w:r>
      <w:r w:rsidR="0060048D">
        <w:t>,</w:t>
      </w:r>
      <w:r w:rsidR="00057D9C">
        <w:t xml:space="preserve"> and to follow</w:t>
      </w:r>
      <w:r w:rsidR="0060048D">
        <w:t>,</w:t>
      </w:r>
      <w:r w:rsidR="00057D9C">
        <w:t xml:space="preserve"> </w:t>
      </w:r>
      <w:r w:rsidR="004C1B39">
        <w:t xml:space="preserve">the </w:t>
      </w:r>
      <w:r w:rsidR="00057D9C">
        <w:t xml:space="preserve">necessary steps to lead </w:t>
      </w:r>
      <w:r w:rsidR="00202CAB">
        <w:t>a</w:t>
      </w:r>
      <w:r w:rsidR="0060048D">
        <w:t xml:space="preserve"> non-bias</w:t>
      </w:r>
      <w:r w:rsidR="009C3F85">
        <w:t>ed</w:t>
      </w:r>
      <w:r w:rsidR="0060048D">
        <w:t xml:space="preserve"> </w:t>
      </w:r>
      <w:r w:rsidR="002F672C">
        <w:t>investigati</w:t>
      </w:r>
      <w:r w:rsidR="00057D9C">
        <w:t xml:space="preserve">on complaint </w:t>
      </w:r>
      <w:r w:rsidR="00202CAB">
        <w:t xml:space="preserve">made </w:t>
      </w:r>
      <w:r w:rsidR="00057D9C">
        <w:t xml:space="preserve">by </w:t>
      </w:r>
      <w:r w:rsidR="00202CAB">
        <w:t xml:space="preserve">a </w:t>
      </w:r>
      <w:r w:rsidR="00057D9C">
        <w:t>student</w:t>
      </w:r>
      <w:r w:rsidR="00202CAB">
        <w:t xml:space="preserve"> </w:t>
      </w:r>
      <w:r w:rsidR="00057D9C">
        <w:t>and</w:t>
      </w:r>
      <w:r w:rsidR="00202CAB">
        <w:t>/or an e</w:t>
      </w:r>
      <w:r w:rsidR="00EB1262">
        <w:t>mployee</w:t>
      </w:r>
      <w:r w:rsidR="00202CAB">
        <w:t xml:space="preserve"> of LIBI</w:t>
      </w:r>
      <w:r w:rsidR="00057D9C">
        <w:t xml:space="preserve">. </w:t>
      </w:r>
      <w:r w:rsidR="00B44940">
        <w:t xml:space="preserve">The Title IX Coordinators work in conjunction with the newly defined roles of Investigator, Advisor, Decision-Maker, and </w:t>
      </w:r>
      <w:r w:rsidR="000D3E6D">
        <w:t>Informal Resolution Facilitator.</w:t>
      </w:r>
      <w:r w:rsidR="00AA4155">
        <w:t xml:space="preserve"> </w:t>
      </w:r>
    </w:p>
    <w:p w14:paraId="02A6331B" w14:textId="18DB42B1" w:rsidR="00806E5D" w:rsidRDefault="00806E5D" w:rsidP="00F4604E">
      <w:pPr>
        <w:spacing w:after="0"/>
        <w:jc w:val="both"/>
      </w:pPr>
    </w:p>
    <w:p w14:paraId="6C1D5256" w14:textId="7A555854" w:rsidR="00F4604E" w:rsidRDefault="00F4604E" w:rsidP="00F4604E">
      <w:pPr>
        <w:jc w:val="both"/>
      </w:pPr>
      <w:r>
        <w:t xml:space="preserve">LIBI employees participated in the online course, </w:t>
      </w:r>
      <w:r w:rsidRPr="00FD59DC">
        <w:rPr>
          <w:b/>
          <w:bCs/>
          <w:i/>
          <w:iCs/>
        </w:rPr>
        <w:t>Harassment Training</w:t>
      </w:r>
      <w:r>
        <w:t xml:space="preserve">, sponsored by </w:t>
      </w:r>
      <w:r w:rsidRPr="00FD59DC">
        <w:rPr>
          <w:b/>
          <w:bCs/>
        </w:rPr>
        <w:t>HRdirect smart apps</w:t>
      </w:r>
      <w:r>
        <w:t xml:space="preserve"> from </w:t>
      </w:r>
      <w:r w:rsidRPr="00EB6C90">
        <w:rPr>
          <w:b/>
          <w:bCs/>
        </w:rPr>
        <w:t>July 15 – August 14, 2020</w:t>
      </w:r>
      <w:r>
        <w:t>. The training included up to 6 Modules related to sexual harassment prevention, an annual compliance requirement under Title IX:</w:t>
      </w:r>
    </w:p>
    <w:p w14:paraId="3BEC8B5A" w14:textId="77777777" w:rsidR="00F4604E" w:rsidRDefault="00F4604E" w:rsidP="00F4604E">
      <w:pPr>
        <w:pStyle w:val="ListParagraph"/>
        <w:numPr>
          <w:ilvl w:val="0"/>
          <w:numId w:val="1"/>
        </w:numPr>
        <w:jc w:val="both"/>
      </w:pPr>
      <w:r>
        <w:t>Understanding Harassment</w:t>
      </w:r>
    </w:p>
    <w:p w14:paraId="7CAADAED" w14:textId="77777777" w:rsidR="00F4604E" w:rsidRDefault="00F4604E" w:rsidP="00F4604E">
      <w:pPr>
        <w:pStyle w:val="ListParagraph"/>
        <w:numPr>
          <w:ilvl w:val="0"/>
          <w:numId w:val="1"/>
        </w:numPr>
        <w:jc w:val="both"/>
      </w:pPr>
      <w:r>
        <w:t>Examples of Harassment</w:t>
      </w:r>
    </w:p>
    <w:p w14:paraId="419DB121" w14:textId="77777777" w:rsidR="00F4604E" w:rsidRDefault="00F4604E" w:rsidP="00F4604E">
      <w:pPr>
        <w:pStyle w:val="ListParagraph"/>
        <w:numPr>
          <w:ilvl w:val="0"/>
          <w:numId w:val="1"/>
        </w:numPr>
        <w:jc w:val="both"/>
      </w:pPr>
      <w:r>
        <w:t>Special Considerations for Sexual Harassment</w:t>
      </w:r>
    </w:p>
    <w:p w14:paraId="59A122B7" w14:textId="77777777" w:rsidR="00F4604E" w:rsidRDefault="00F4604E" w:rsidP="00F4604E">
      <w:pPr>
        <w:pStyle w:val="ListParagraph"/>
        <w:numPr>
          <w:ilvl w:val="0"/>
          <w:numId w:val="1"/>
        </w:numPr>
        <w:jc w:val="both"/>
      </w:pPr>
      <w:r>
        <w:t>Your Responsibility &amp; Reporting</w:t>
      </w:r>
    </w:p>
    <w:p w14:paraId="15BDBD9F" w14:textId="77777777" w:rsidR="00F4604E" w:rsidRDefault="00F4604E" w:rsidP="00F4604E">
      <w:pPr>
        <w:pStyle w:val="ListParagraph"/>
        <w:numPr>
          <w:ilvl w:val="0"/>
          <w:numId w:val="1"/>
        </w:numPr>
        <w:jc w:val="both"/>
      </w:pPr>
      <w:r>
        <w:t>Diversity &amp; Inclusion</w:t>
      </w:r>
    </w:p>
    <w:p w14:paraId="2B2028E5" w14:textId="77777777" w:rsidR="00F4604E" w:rsidRDefault="00F4604E" w:rsidP="00F4604E">
      <w:pPr>
        <w:pStyle w:val="ListParagraph"/>
        <w:numPr>
          <w:ilvl w:val="0"/>
          <w:numId w:val="1"/>
        </w:numPr>
        <w:jc w:val="both"/>
      </w:pPr>
      <w:r>
        <w:t>Additional Manager Obligations (</w:t>
      </w:r>
      <w:r w:rsidRPr="001A3CC7">
        <w:rPr>
          <w:i/>
          <w:iCs/>
        </w:rPr>
        <w:t>required for manager-level</w:t>
      </w:r>
      <w:r>
        <w:t>)</w:t>
      </w:r>
    </w:p>
    <w:p w14:paraId="0BCDB282" w14:textId="77777777" w:rsidR="00F4604E" w:rsidRDefault="00F4604E" w:rsidP="00BC73E3">
      <w:pPr>
        <w:spacing w:after="0"/>
        <w:jc w:val="both"/>
      </w:pPr>
      <w:r>
        <w:t>The Module trainings were voice-activated and ran anywhere from 11-minutes to 21-minutes in length, totaling 105 minutes. Each addressed the types of issues employees may experience or be witness to while in a workplace setting. As each Module was a stand-alone, the training could be taken out of sequence. There was a Quiz at the close of each Module to review for understanding. This course was an invaluable reference for LIBI employees.</w:t>
      </w:r>
    </w:p>
    <w:p w14:paraId="0E659D73" w14:textId="77777777" w:rsidR="00BC73E3" w:rsidRDefault="00BC73E3" w:rsidP="00BC73E3">
      <w:pPr>
        <w:spacing w:after="0"/>
      </w:pPr>
    </w:p>
    <w:p w14:paraId="32EE2518" w14:textId="7188E5A6" w:rsidR="00F4604E" w:rsidRDefault="00F4604E" w:rsidP="00E674A1">
      <w:pPr>
        <w:spacing w:after="0"/>
        <w:jc w:val="both"/>
      </w:pPr>
      <w:r>
        <w:t xml:space="preserve">The </w:t>
      </w:r>
      <w:r w:rsidR="00BE3A3F">
        <w:t xml:space="preserve">following matrix, by format, sponsor, and event, </w:t>
      </w:r>
      <w:r>
        <w:t>represents the training attended by</w:t>
      </w:r>
      <w:r w:rsidR="00BE3A3F">
        <w:t xml:space="preserve"> LIBI’s </w:t>
      </w:r>
      <w:r>
        <w:t>Title IX Coordinators and</w:t>
      </w:r>
      <w:r w:rsidR="00F45031">
        <w:t>/or</w:t>
      </w:r>
      <w:r>
        <w:t xml:space="preserve"> employees </w:t>
      </w:r>
      <w:r w:rsidR="00BE3A3F">
        <w:t>from August 2019 through August 2020.</w:t>
      </w:r>
    </w:p>
    <w:p w14:paraId="0B553E5E" w14:textId="77777777" w:rsidR="00806E5D" w:rsidRDefault="00806E5D"/>
    <w:p w14:paraId="4112CE28" w14:textId="5473AA89" w:rsidR="00C31DA5" w:rsidRDefault="00C31DA5">
      <w:r>
        <w:br w:type="page"/>
      </w:r>
    </w:p>
    <w:tbl>
      <w:tblPr>
        <w:tblpPr w:leftFromText="180" w:rightFromText="180" w:horzAnchor="margin" w:tblpXSpec="center" w:tblpY="-750"/>
        <w:tblW w:w="11065" w:type="dxa"/>
        <w:tblLook w:val="04A0" w:firstRow="1" w:lastRow="0" w:firstColumn="1" w:lastColumn="0" w:noHBand="0" w:noVBand="1"/>
      </w:tblPr>
      <w:tblGrid>
        <w:gridCol w:w="1075"/>
        <w:gridCol w:w="1091"/>
        <w:gridCol w:w="1249"/>
        <w:gridCol w:w="1260"/>
        <w:gridCol w:w="2790"/>
        <w:gridCol w:w="3600"/>
      </w:tblGrid>
      <w:tr w:rsidR="008148D8" w:rsidRPr="00C31DA5" w14:paraId="4B9A41F4" w14:textId="77777777" w:rsidTr="00630531">
        <w:trPr>
          <w:trHeight w:val="579"/>
        </w:trPr>
        <w:tc>
          <w:tcPr>
            <w:tcW w:w="1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14:paraId="065024A3" w14:textId="20F18AED" w:rsidR="00C31DA5" w:rsidRPr="00C31DA5" w:rsidRDefault="00C31DA5" w:rsidP="00202C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40"/>
                <w:szCs w:val="40"/>
              </w:rPr>
            </w:pPr>
            <w:r w:rsidRPr="00C31DA5">
              <w:rPr>
                <w:rFonts w:eastAsia="Times New Roman" w:cs="Calibri"/>
                <w:b/>
                <w:bCs/>
                <w:color w:val="FFFFFF"/>
                <w:sz w:val="40"/>
                <w:szCs w:val="40"/>
              </w:rPr>
              <w:lastRenderedPageBreak/>
              <w:t>Training in Title IX</w:t>
            </w:r>
            <w:r w:rsidR="00503F11">
              <w:rPr>
                <w:rFonts w:eastAsia="Times New Roman" w:cs="Calibri"/>
                <w:b/>
                <w:bCs/>
                <w:color w:val="FFFFFF"/>
                <w:sz w:val="40"/>
                <w:szCs w:val="40"/>
              </w:rPr>
              <w:t xml:space="preserve"> </w:t>
            </w:r>
            <w:r w:rsidR="00345EB5">
              <w:rPr>
                <w:rFonts w:eastAsia="Times New Roman" w:cs="Calibri"/>
                <w:b/>
                <w:bCs/>
                <w:color w:val="FFFFFF"/>
                <w:sz w:val="40"/>
                <w:szCs w:val="40"/>
              </w:rPr>
              <w:t>and</w:t>
            </w:r>
            <w:r w:rsidR="00503F11">
              <w:rPr>
                <w:rFonts w:eastAsia="Times New Roman" w:cs="Calibri"/>
                <w:b/>
                <w:bCs/>
                <w:color w:val="FFFFFF"/>
                <w:sz w:val="40"/>
                <w:szCs w:val="40"/>
              </w:rPr>
              <w:t xml:space="preserve"> Clery Act </w:t>
            </w:r>
            <w:r w:rsidR="002258B4">
              <w:rPr>
                <w:rFonts w:eastAsia="Times New Roman" w:cs="Calibri"/>
                <w:b/>
                <w:bCs/>
                <w:color w:val="FFFFFF"/>
                <w:sz w:val="40"/>
                <w:szCs w:val="40"/>
              </w:rPr>
              <w:t>at LIBI</w:t>
            </w:r>
          </w:p>
        </w:tc>
      </w:tr>
      <w:tr w:rsidR="00BE3A3F" w:rsidRPr="00C31DA5" w14:paraId="48716B70" w14:textId="77777777" w:rsidTr="00630531">
        <w:trPr>
          <w:trHeight w:val="84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E10514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2"/>
              </w:rPr>
            </w:pPr>
            <w:r w:rsidRPr="00C31DA5">
              <w:rPr>
                <w:rFonts w:eastAsia="Times New Roman" w:cs="Calibri"/>
                <w:b/>
                <w:bCs/>
                <w:sz w:val="22"/>
              </w:rPr>
              <w:t>Online</w:t>
            </w:r>
            <w:r w:rsidRPr="00C31DA5">
              <w:rPr>
                <w:rFonts w:eastAsia="Times New Roman" w:cs="Calibri"/>
                <w:b/>
                <w:bCs/>
                <w:sz w:val="22"/>
              </w:rPr>
              <w:br/>
              <w:t>Courses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E8CCF7F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</w:rPr>
            </w:pPr>
            <w:r w:rsidRPr="00C31DA5">
              <w:rPr>
                <w:rFonts w:eastAsia="Times New Roman" w:cs="Calibri"/>
                <w:b/>
                <w:bCs/>
                <w:color w:val="000000"/>
                <w:sz w:val="22"/>
              </w:rPr>
              <w:t>Webinars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B00FF19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</w:rPr>
            </w:pPr>
            <w:r w:rsidRPr="00C31DA5">
              <w:rPr>
                <w:rFonts w:eastAsia="Times New Roman" w:cs="Calibri"/>
                <w:b/>
                <w:bCs/>
                <w:color w:val="000000"/>
                <w:sz w:val="22"/>
              </w:rPr>
              <w:t>In-House</w:t>
            </w:r>
            <w:r w:rsidRPr="00C31DA5">
              <w:rPr>
                <w:rFonts w:eastAsia="Times New Roman" w:cs="Calibri"/>
                <w:b/>
                <w:bCs/>
                <w:color w:val="000000"/>
                <w:sz w:val="22"/>
              </w:rPr>
              <w:br/>
              <w:t>Facilitator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00473242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</w:rPr>
            </w:pPr>
            <w:r w:rsidRPr="00C31DA5">
              <w:rPr>
                <w:rFonts w:eastAsia="Times New Roman" w:cs="Calibri"/>
                <w:b/>
                <w:bCs/>
                <w:color w:val="000000"/>
                <w:sz w:val="22"/>
              </w:rPr>
              <w:t>Off-Site</w:t>
            </w:r>
            <w:r w:rsidRPr="00C31DA5">
              <w:rPr>
                <w:rFonts w:eastAsia="Times New Roman" w:cs="Calibri"/>
                <w:b/>
                <w:bCs/>
                <w:color w:val="000000"/>
                <w:sz w:val="22"/>
              </w:rPr>
              <w:br/>
              <w:t>Facilitators</w:t>
            </w:r>
          </w:p>
        </w:tc>
        <w:tc>
          <w:tcPr>
            <w:tcW w:w="279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030A0"/>
            <w:noWrap/>
            <w:vAlign w:val="center"/>
            <w:hideMark/>
          </w:tcPr>
          <w:p w14:paraId="465FCF17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44"/>
                <w:szCs w:val="44"/>
              </w:rPr>
            </w:pPr>
            <w:r w:rsidRPr="00C31DA5">
              <w:rPr>
                <w:rFonts w:eastAsia="Times New Roman" w:cs="Calibri"/>
                <w:b/>
                <w:bCs/>
                <w:color w:val="FFFFFF"/>
                <w:sz w:val="44"/>
                <w:szCs w:val="44"/>
              </w:rPr>
              <w:t>Sponsor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14:paraId="64987946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44"/>
                <w:szCs w:val="44"/>
              </w:rPr>
            </w:pPr>
            <w:r w:rsidRPr="00C31DA5">
              <w:rPr>
                <w:rFonts w:eastAsia="Times New Roman" w:cs="Calibri"/>
                <w:b/>
                <w:bCs/>
                <w:color w:val="FFFFFF"/>
                <w:sz w:val="44"/>
                <w:szCs w:val="44"/>
              </w:rPr>
              <w:t>Event</w:t>
            </w:r>
          </w:p>
        </w:tc>
      </w:tr>
      <w:tr w:rsidR="004C1B39" w:rsidRPr="00C31DA5" w14:paraId="6ABDBA13" w14:textId="77777777" w:rsidTr="00630531">
        <w:trPr>
          <w:trHeight w:val="35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338EF0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FF7291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</w:pPr>
            <w:r w:rsidRPr="00C31DA5"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  <w:t>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DAF54D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2"/>
              </w:rPr>
            </w:pPr>
            <w:r w:rsidRPr="00C31DA5">
              <w:rPr>
                <w:rFonts w:ascii="Wingdings" w:eastAsia="Times New Roman" w:hAnsi="Times New Roman" w:cs="Calibri"/>
                <w:color w:val="00000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014F88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2"/>
              </w:rPr>
            </w:pPr>
            <w:r w:rsidRPr="00C31DA5">
              <w:rPr>
                <w:rFonts w:ascii="Wingdings" w:eastAsia="Times New Roman" w:hAnsi="Times New Roman" w:cs="Calibri"/>
                <w:color w:val="000000"/>
                <w:sz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454F5F7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Clery Center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A6CCB3C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Kristen's Krusade Film Launch: Then Everything Changed</w:t>
            </w:r>
          </w:p>
        </w:tc>
      </w:tr>
      <w:tr w:rsidR="004C1B39" w:rsidRPr="00C31DA5" w14:paraId="2B031080" w14:textId="77777777" w:rsidTr="00630531">
        <w:trPr>
          <w:trHeight w:val="53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985FB8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F9CD023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</w:pPr>
            <w:r w:rsidRPr="00C31DA5"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  <w:t>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DE9B4B1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2"/>
              </w:rPr>
            </w:pPr>
            <w:r w:rsidRPr="00C31DA5">
              <w:rPr>
                <w:rFonts w:ascii="Wingdings" w:eastAsia="Times New Roman" w:hAnsi="Times New Roman" w:cs="Calibri"/>
                <w:color w:val="00000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C5CC62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2"/>
              </w:rPr>
            </w:pPr>
            <w:r w:rsidRPr="00C31DA5">
              <w:rPr>
                <w:rFonts w:ascii="Wingdings" w:eastAsia="Times New Roman" w:hAnsi="Times New Roman" w:cs="Calibri"/>
                <w:color w:val="000000"/>
                <w:sz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43E9C99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i-Sight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10A80FC" w14:textId="5F11941C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Sexual Harassment Investigations in the News:</w:t>
            </w:r>
            <w:r w:rsidR="004C1B39">
              <w:rPr>
                <w:rFonts w:eastAsia="Times New Roman" w:cs="Calibri"/>
                <w:color w:val="000000"/>
                <w:sz w:val="22"/>
              </w:rPr>
              <w:t xml:space="preserve"> </w:t>
            </w:r>
            <w:r w:rsidRPr="00C31DA5">
              <w:rPr>
                <w:rFonts w:eastAsia="Times New Roman" w:cs="Calibri"/>
                <w:color w:val="000000"/>
                <w:sz w:val="22"/>
              </w:rPr>
              <w:t xml:space="preserve">Lessons Learned </w:t>
            </w:r>
            <w:r w:rsidR="00750146">
              <w:rPr>
                <w:rFonts w:eastAsia="Times New Roman" w:cs="Calibri"/>
                <w:color w:val="000000"/>
                <w:sz w:val="22"/>
              </w:rPr>
              <w:t>f</w:t>
            </w:r>
            <w:r w:rsidRPr="00C31DA5">
              <w:rPr>
                <w:rFonts w:eastAsia="Times New Roman" w:cs="Calibri"/>
                <w:color w:val="000000"/>
                <w:sz w:val="22"/>
              </w:rPr>
              <w:t>rom a Year of Upheaval</w:t>
            </w:r>
          </w:p>
        </w:tc>
      </w:tr>
      <w:tr w:rsidR="004C1B39" w:rsidRPr="00C31DA5" w14:paraId="753AF4D3" w14:textId="77777777" w:rsidTr="00630531">
        <w:trPr>
          <w:trHeight w:val="33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9CC6E2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</w:pPr>
            <w:r w:rsidRPr="00C31DA5"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  <w:t>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869169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8543A8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816E0E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67E9BF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emPower Solutions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7F3C58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Campus Security Authority</w:t>
            </w:r>
          </w:p>
        </w:tc>
      </w:tr>
      <w:tr w:rsidR="004C1B39" w:rsidRPr="00C31DA5" w14:paraId="183915EC" w14:textId="77777777" w:rsidTr="00630531">
        <w:trPr>
          <w:trHeight w:val="33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CF4254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</w:pPr>
            <w:r w:rsidRPr="00C31DA5"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  <w:t>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307E23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63D4A9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E25054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3086CC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emPower Solutions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B0299D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The Clery Act</w:t>
            </w:r>
          </w:p>
        </w:tc>
      </w:tr>
      <w:tr w:rsidR="004C1B39" w:rsidRPr="00C31DA5" w14:paraId="2C02B9FF" w14:textId="77777777" w:rsidTr="00630531">
        <w:trPr>
          <w:trHeight w:val="33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0AC6D0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</w:pPr>
            <w:r w:rsidRPr="00C31DA5"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  <w:t>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7A0FB9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BA1734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190E6B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4AE142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emPower Solutions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B07845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Title IX - Employees</w:t>
            </w:r>
          </w:p>
        </w:tc>
      </w:tr>
      <w:tr w:rsidR="004C1B39" w:rsidRPr="00C31DA5" w14:paraId="223C837B" w14:textId="77777777" w:rsidTr="00630531">
        <w:trPr>
          <w:trHeight w:val="56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FA637AF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C31DA5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B342CA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C31DA5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6160FEE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</w:pPr>
            <w:r w:rsidRPr="00C31DA5"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  <w:t>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6E016A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</w:pPr>
            <w:r w:rsidRPr="00C31DA5">
              <w:rPr>
                <w:rFonts w:ascii="Wingdings" w:eastAsia="Times New Roman" w:hAnsi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2392530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Mayor's Office to End Domestic and</w:t>
            </w:r>
            <w:r w:rsidRPr="00C31DA5">
              <w:rPr>
                <w:rFonts w:eastAsia="Times New Roman" w:cs="Calibri"/>
                <w:color w:val="000000"/>
                <w:sz w:val="22"/>
              </w:rPr>
              <w:br/>
              <w:t>Gender-Based Violence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5546892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Intimate Partner Violence 101</w:t>
            </w:r>
          </w:p>
        </w:tc>
      </w:tr>
      <w:tr w:rsidR="004C1B39" w:rsidRPr="00C31DA5" w14:paraId="2747C040" w14:textId="77777777" w:rsidTr="00630531">
        <w:trPr>
          <w:trHeight w:val="113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68CC261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C31DA5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109BBA8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C31DA5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D71139E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</w:pPr>
            <w:r w:rsidRPr="00C31DA5">
              <w:rPr>
                <w:rFonts w:ascii="Wingdings" w:eastAsia="Times New Roman" w:hAnsi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60A6A58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</w:pPr>
            <w:r w:rsidRPr="00C31DA5"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  <w:t>þ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89E728E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New York University</w:t>
            </w:r>
            <w:r w:rsidRPr="00C31DA5">
              <w:rPr>
                <w:rFonts w:eastAsia="Times New Roman" w:cs="Calibri"/>
                <w:color w:val="000000"/>
                <w:sz w:val="22"/>
              </w:rPr>
              <w:br/>
              <w:t>Allied Universal</w:t>
            </w:r>
            <w:r w:rsidRPr="00C31DA5">
              <w:rPr>
                <w:rFonts w:eastAsia="Times New Roman" w:cs="Calibri"/>
                <w:color w:val="000000"/>
                <w:sz w:val="22"/>
              </w:rPr>
              <w:br/>
              <w:t>Clery Center</w:t>
            </w:r>
            <w:r w:rsidRPr="00C31DA5">
              <w:rPr>
                <w:rFonts w:eastAsia="Times New Roman" w:cs="Calibri"/>
                <w:color w:val="000000"/>
                <w:sz w:val="22"/>
              </w:rPr>
              <w:br/>
              <w:t>U.S. Department of Education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19DA174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NYC Regional Clery Compliance Symposium</w:t>
            </w:r>
          </w:p>
        </w:tc>
      </w:tr>
      <w:tr w:rsidR="004C1B39" w:rsidRPr="00C31DA5" w14:paraId="56585489" w14:textId="77777777" w:rsidTr="00630531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6A71A51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C31DA5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3A93857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</w:pPr>
            <w:r w:rsidRPr="00C31DA5"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  <w:t>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DE3542C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C31DA5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20EB69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C31DA5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AF3E34D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BrightTALK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963D7BE" w14:textId="10300CAE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Define the Line: How to Help Eliminate Workplace</w:t>
            </w:r>
            <w:r w:rsidR="004C1B39">
              <w:rPr>
                <w:rFonts w:eastAsia="Times New Roman" w:cs="Calibri"/>
                <w:color w:val="000000"/>
                <w:sz w:val="22"/>
              </w:rPr>
              <w:t xml:space="preserve"> </w:t>
            </w:r>
            <w:r w:rsidRPr="00C31DA5">
              <w:rPr>
                <w:rFonts w:eastAsia="Times New Roman" w:cs="Calibri"/>
                <w:color w:val="000000"/>
                <w:sz w:val="22"/>
              </w:rPr>
              <w:t>Harassment</w:t>
            </w:r>
          </w:p>
        </w:tc>
      </w:tr>
      <w:tr w:rsidR="004C1B39" w:rsidRPr="00C31DA5" w14:paraId="71E61399" w14:textId="77777777" w:rsidTr="00630531">
        <w:trPr>
          <w:trHeight w:val="35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AFF4AC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</w:pPr>
            <w:r w:rsidRPr="00C31DA5"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  <w:t>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4A295A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</w:pPr>
            <w:r w:rsidRPr="00C31DA5">
              <w:rPr>
                <w:rFonts w:ascii="Wingdings" w:eastAsia="Times New Roman" w:hAnsi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212462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</w:pPr>
            <w:r w:rsidRPr="00C31DA5">
              <w:rPr>
                <w:rFonts w:ascii="Wingdings" w:eastAsia="Times New Roman" w:hAnsi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7D9067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</w:pPr>
            <w:r w:rsidRPr="00C31DA5">
              <w:rPr>
                <w:rFonts w:ascii="Wingdings" w:eastAsia="Times New Roman" w:hAnsi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19A039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emPower Solutions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249EA0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Sexual Harassment Prevention</w:t>
            </w:r>
          </w:p>
        </w:tc>
      </w:tr>
      <w:tr w:rsidR="004C1B39" w:rsidRPr="00C31DA5" w14:paraId="39A8D4DA" w14:textId="77777777" w:rsidTr="00630531">
        <w:trPr>
          <w:trHeight w:val="35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28ACC9F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C31DA5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1D8A2F0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</w:pPr>
            <w:r w:rsidRPr="00C31DA5"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  <w:t>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EFAD5A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</w:pPr>
            <w:r w:rsidRPr="00C31DA5">
              <w:rPr>
                <w:rFonts w:ascii="Wingdings" w:eastAsia="Times New Roman" w:hAnsi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BDA1935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</w:pPr>
            <w:r w:rsidRPr="00C31DA5">
              <w:rPr>
                <w:rFonts w:ascii="Wingdings" w:eastAsia="Times New Roman" w:hAnsi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905D2FB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Duane Morris Institute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F7BC106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The New Role of the Title IX Coordinator</w:t>
            </w:r>
          </w:p>
        </w:tc>
      </w:tr>
      <w:tr w:rsidR="004C1B39" w:rsidRPr="00C31DA5" w14:paraId="0AD51926" w14:textId="77777777" w:rsidTr="00630531">
        <w:trPr>
          <w:trHeight w:val="35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FA8896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</w:pPr>
            <w:r w:rsidRPr="00C31DA5"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  <w:t>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56B0B7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C31DA5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C64E98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</w:pPr>
            <w:r w:rsidRPr="00C31DA5">
              <w:rPr>
                <w:rFonts w:ascii="Wingdings" w:eastAsia="Times New Roman" w:hAnsi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C20F8F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</w:pPr>
            <w:r w:rsidRPr="00C31DA5">
              <w:rPr>
                <w:rFonts w:ascii="Wingdings" w:eastAsia="Times New Roman" w:hAnsi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DBC1D4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ProTrainings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A7DCF9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Sexual Harassment Training</w:t>
            </w:r>
          </w:p>
        </w:tc>
      </w:tr>
      <w:tr w:rsidR="004C1B39" w:rsidRPr="00C31DA5" w14:paraId="63E68A9B" w14:textId="77777777" w:rsidTr="00630531">
        <w:trPr>
          <w:trHeight w:val="58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326E5E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C31DA5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5C0E265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</w:pPr>
            <w:r w:rsidRPr="00C31DA5"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  <w:t>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3B9F2C9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C31DA5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FA40EC4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C31DA5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D757E3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NYC Commission on Human Rights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7535B68" w14:textId="19BABCC2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Anti-Sexual Harassment Training: Tools and strategies to</w:t>
            </w:r>
            <w:r w:rsidR="004C1B39">
              <w:rPr>
                <w:rFonts w:eastAsia="Times New Roman" w:cs="Calibri"/>
                <w:color w:val="000000"/>
                <w:sz w:val="22"/>
              </w:rPr>
              <w:t xml:space="preserve"> </w:t>
            </w:r>
            <w:r w:rsidRPr="00C31DA5">
              <w:rPr>
                <w:rFonts w:eastAsia="Times New Roman" w:cs="Calibri"/>
                <w:color w:val="000000"/>
                <w:sz w:val="22"/>
              </w:rPr>
              <w:t>create a harassment-free workplace</w:t>
            </w:r>
            <w:r w:rsidR="00BE3A3F">
              <w:rPr>
                <w:rFonts w:eastAsia="Times New Roman" w:cs="Calibri"/>
                <w:color w:val="000000"/>
                <w:sz w:val="22"/>
              </w:rPr>
              <w:t xml:space="preserve"> (</w:t>
            </w:r>
            <w:r w:rsidR="00BE3A3F" w:rsidRPr="00637E4C">
              <w:rPr>
                <w:rFonts w:eastAsia="Times New Roman" w:cs="Calibri"/>
                <w:i/>
                <w:iCs/>
                <w:color w:val="000000"/>
                <w:sz w:val="22"/>
              </w:rPr>
              <w:t>annual</w:t>
            </w:r>
            <w:r w:rsidR="00BE3A3F">
              <w:rPr>
                <w:rFonts w:eastAsia="Times New Roman" w:cs="Calibri"/>
                <w:color w:val="000000"/>
                <w:sz w:val="22"/>
              </w:rPr>
              <w:t>)</w:t>
            </w:r>
          </w:p>
        </w:tc>
      </w:tr>
      <w:tr w:rsidR="004C1B39" w:rsidRPr="00C31DA5" w14:paraId="5D37B525" w14:textId="77777777" w:rsidTr="00630531">
        <w:trPr>
          <w:trHeight w:val="82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E6056BE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C31DA5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0EC8938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</w:pPr>
            <w:r w:rsidRPr="00C31DA5"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  <w:t>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D590D26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C31DA5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C5A428C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C31DA5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DB7C33C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Campus Safety Online Summit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DC9AE7D" w14:textId="4B703B53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Accounting for the Other: Examining Clery Act</w:t>
            </w:r>
            <w:r w:rsidR="008148D8">
              <w:rPr>
                <w:rFonts w:eastAsia="Times New Roman" w:cs="Calibri"/>
                <w:color w:val="000000"/>
                <w:sz w:val="22"/>
              </w:rPr>
              <w:t xml:space="preserve"> </w:t>
            </w:r>
            <w:r w:rsidRPr="00C31DA5">
              <w:rPr>
                <w:rFonts w:eastAsia="Times New Roman" w:cs="Calibri"/>
                <w:color w:val="000000"/>
                <w:sz w:val="22"/>
              </w:rPr>
              <w:t>Emergency Notification Policies in Light of COVID-19 Response</w:t>
            </w:r>
          </w:p>
        </w:tc>
      </w:tr>
      <w:tr w:rsidR="004C1B39" w:rsidRPr="00C31DA5" w14:paraId="182C5558" w14:textId="77777777" w:rsidTr="00630531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2D2E13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</w:pPr>
            <w:r w:rsidRPr="00C31DA5"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  <w:t>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4D5C62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C31DA5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DDC808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C31DA5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4FD019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C31DA5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EF05DB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Clery Center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C073EE" w14:textId="6E5F4195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Jeanne Clery Act Compliance: A Collaborative Team</w:t>
            </w:r>
            <w:r w:rsidR="004C1B39">
              <w:rPr>
                <w:rFonts w:eastAsia="Times New Roman" w:cs="Calibri"/>
                <w:color w:val="000000"/>
                <w:sz w:val="22"/>
              </w:rPr>
              <w:t xml:space="preserve"> </w:t>
            </w:r>
            <w:r w:rsidRPr="00C31DA5">
              <w:rPr>
                <w:rFonts w:eastAsia="Times New Roman" w:cs="Calibri"/>
                <w:color w:val="000000"/>
                <w:sz w:val="22"/>
              </w:rPr>
              <w:t>Approach</w:t>
            </w:r>
          </w:p>
        </w:tc>
      </w:tr>
      <w:tr w:rsidR="004C1B39" w:rsidRPr="00C31DA5" w14:paraId="507688BB" w14:textId="77777777" w:rsidTr="00630531">
        <w:trPr>
          <w:trHeight w:val="57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D2C950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C31DA5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C81F2AD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</w:pPr>
            <w:r w:rsidRPr="00C31DA5"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  <w:t>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047D759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C31DA5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1D5EF3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C31DA5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4D08683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Duane Morris Institute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EC541B4" w14:textId="7A514D64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Preparing for the Implementation of the New Title IX</w:t>
            </w:r>
            <w:r w:rsidR="008148D8">
              <w:rPr>
                <w:rFonts w:eastAsia="Times New Roman" w:cs="Calibri"/>
                <w:color w:val="000000"/>
                <w:sz w:val="22"/>
              </w:rPr>
              <w:t xml:space="preserve"> </w:t>
            </w:r>
            <w:r w:rsidRPr="00C31DA5">
              <w:rPr>
                <w:rFonts w:eastAsia="Times New Roman" w:cs="Calibri"/>
                <w:color w:val="000000"/>
                <w:sz w:val="22"/>
              </w:rPr>
              <w:t>Final Rule: The Investigator and Advisor</w:t>
            </w:r>
          </w:p>
        </w:tc>
      </w:tr>
      <w:tr w:rsidR="004C1B39" w:rsidRPr="00C31DA5" w14:paraId="4E5C4CE2" w14:textId="77777777" w:rsidTr="00630531">
        <w:trPr>
          <w:trHeight w:val="57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E684ED0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C31DA5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A47C72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</w:pPr>
            <w:r w:rsidRPr="00C31DA5"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  <w:t>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46F70E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C31DA5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C80C588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C31DA5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26A62F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Husch Blackwell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CC22041" w14:textId="2B0E6D3A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Clery in Light of COVID-19: What will change, and what will stay the same?</w:t>
            </w:r>
          </w:p>
        </w:tc>
      </w:tr>
      <w:tr w:rsidR="004C1B39" w:rsidRPr="00C31DA5" w14:paraId="6620B5ED" w14:textId="77777777" w:rsidTr="00630531">
        <w:trPr>
          <w:trHeight w:val="56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FE49D3" w14:textId="24B50796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6307AE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</w:pPr>
            <w:r w:rsidRPr="00C31DA5"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  <w:t>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D2A8ADC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</w:pPr>
            <w:r w:rsidRPr="00C31DA5">
              <w:rPr>
                <w:rFonts w:ascii="Wingdings" w:eastAsia="Times New Roman" w:hAnsi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41DDBF0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</w:pPr>
            <w:r w:rsidRPr="00C31DA5">
              <w:rPr>
                <w:rFonts w:ascii="Wingdings" w:eastAsia="Times New Roman" w:hAnsi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88B3AA4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Duane Morris Institute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0555EC1" w14:textId="03F6650B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Title IX Decision-Maker and Informal Resolution</w:t>
            </w:r>
            <w:r w:rsidR="004C1B39">
              <w:rPr>
                <w:rFonts w:eastAsia="Times New Roman" w:cs="Calibri"/>
                <w:color w:val="000000"/>
                <w:sz w:val="22"/>
              </w:rPr>
              <w:t xml:space="preserve"> </w:t>
            </w:r>
            <w:r w:rsidRPr="00C31DA5">
              <w:rPr>
                <w:rFonts w:eastAsia="Times New Roman" w:cs="Calibri"/>
                <w:color w:val="000000"/>
                <w:sz w:val="22"/>
              </w:rPr>
              <w:t>Facilitator</w:t>
            </w:r>
          </w:p>
        </w:tc>
      </w:tr>
      <w:tr w:rsidR="004C1B39" w:rsidRPr="00C31DA5" w14:paraId="56FFFCE6" w14:textId="77777777" w:rsidTr="00630531">
        <w:trPr>
          <w:trHeight w:val="35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F03E90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</w:pPr>
            <w:r w:rsidRPr="00C31DA5"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  <w:t>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9CC6AC" w14:textId="77777777" w:rsidR="00C31DA5" w:rsidRPr="00C31DA5" w:rsidRDefault="00C31DA5" w:rsidP="00202CAB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28"/>
                <w:szCs w:val="28"/>
              </w:rPr>
            </w:pPr>
            <w:r w:rsidRPr="00C31DA5">
              <w:rPr>
                <w:rFonts w:ascii="Wingdings" w:eastAsia="Times New Roman" w:hAnsi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7E7C58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C31DA5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74F6DD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C31DA5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2F4D47" w14:textId="77777777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HRdirect smart apps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B4AA8F" w14:textId="77A5B01B" w:rsidR="00C31DA5" w:rsidRPr="00C31DA5" w:rsidRDefault="00C31DA5" w:rsidP="00202CAB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 w:rsidRPr="00C31DA5">
              <w:rPr>
                <w:rFonts w:eastAsia="Times New Roman" w:cs="Calibri"/>
                <w:color w:val="000000"/>
                <w:sz w:val="22"/>
              </w:rPr>
              <w:t>Harassment Training</w:t>
            </w:r>
            <w:r w:rsidR="00BE3A3F">
              <w:rPr>
                <w:rFonts w:eastAsia="Times New Roman" w:cs="Calibri"/>
                <w:color w:val="000000"/>
                <w:sz w:val="22"/>
              </w:rPr>
              <w:t xml:space="preserve"> (</w:t>
            </w:r>
            <w:r w:rsidR="00BE3A3F" w:rsidRPr="00637E4C">
              <w:rPr>
                <w:rFonts w:eastAsia="Times New Roman" w:cs="Calibri"/>
                <w:i/>
                <w:iCs/>
                <w:color w:val="000000"/>
                <w:sz w:val="22"/>
              </w:rPr>
              <w:t>annual</w:t>
            </w:r>
            <w:r w:rsidR="00BE3A3F">
              <w:rPr>
                <w:rFonts w:eastAsia="Times New Roman" w:cs="Calibri"/>
                <w:color w:val="000000"/>
                <w:sz w:val="22"/>
              </w:rPr>
              <w:t>)</w:t>
            </w:r>
          </w:p>
        </w:tc>
      </w:tr>
    </w:tbl>
    <w:p w14:paraId="7ADEEFED" w14:textId="08BD2CBF" w:rsidR="00AA4155" w:rsidRDefault="00AA4155"/>
    <w:sectPr w:rsidR="00AA415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7A629" w14:textId="77777777" w:rsidR="005369BF" w:rsidRDefault="005369BF" w:rsidP="005C38B4">
      <w:pPr>
        <w:spacing w:after="0" w:line="240" w:lineRule="auto"/>
      </w:pPr>
      <w:r>
        <w:separator/>
      </w:r>
    </w:p>
  </w:endnote>
  <w:endnote w:type="continuationSeparator" w:id="0">
    <w:p w14:paraId="4DAF2F11" w14:textId="77777777" w:rsidR="005369BF" w:rsidRDefault="005369BF" w:rsidP="005C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0195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7B208E" w14:textId="6CA07722" w:rsidR="005C38B4" w:rsidRDefault="005C38B4" w:rsidP="005C38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D2C96A" w14:textId="77777777" w:rsidR="005C38B4" w:rsidRDefault="005C3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28315" w14:textId="77777777" w:rsidR="005369BF" w:rsidRDefault="005369BF" w:rsidP="005C38B4">
      <w:pPr>
        <w:spacing w:after="0" w:line="240" w:lineRule="auto"/>
      </w:pPr>
      <w:r>
        <w:separator/>
      </w:r>
    </w:p>
  </w:footnote>
  <w:footnote w:type="continuationSeparator" w:id="0">
    <w:p w14:paraId="23054C30" w14:textId="77777777" w:rsidR="005369BF" w:rsidRDefault="005369BF" w:rsidP="005C3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7F6DEE"/>
    <w:multiLevelType w:val="hybridMultilevel"/>
    <w:tmpl w:val="12301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A1"/>
    <w:rsid w:val="00057D9C"/>
    <w:rsid w:val="00074CB5"/>
    <w:rsid w:val="000D3E6D"/>
    <w:rsid w:val="000E6783"/>
    <w:rsid w:val="000F50AA"/>
    <w:rsid w:val="00202CAB"/>
    <w:rsid w:val="002219B2"/>
    <w:rsid w:val="002258B4"/>
    <w:rsid w:val="002B0589"/>
    <w:rsid w:val="002F672C"/>
    <w:rsid w:val="00333D4A"/>
    <w:rsid w:val="00345EB5"/>
    <w:rsid w:val="00394E2D"/>
    <w:rsid w:val="003A5207"/>
    <w:rsid w:val="00403123"/>
    <w:rsid w:val="004C1B39"/>
    <w:rsid w:val="00503F11"/>
    <w:rsid w:val="005369BF"/>
    <w:rsid w:val="005877BD"/>
    <w:rsid w:val="005C38B4"/>
    <w:rsid w:val="0060048D"/>
    <w:rsid w:val="00630531"/>
    <w:rsid w:val="00637E4C"/>
    <w:rsid w:val="00663E67"/>
    <w:rsid w:val="006E384D"/>
    <w:rsid w:val="007014D1"/>
    <w:rsid w:val="00750146"/>
    <w:rsid w:val="0079558D"/>
    <w:rsid w:val="007B44C7"/>
    <w:rsid w:val="00806E5D"/>
    <w:rsid w:val="008148D8"/>
    <w:rsid w:val="00900DC3"/>
    <w:rsid w:val="0097699E"/>
    <w:rsid w:val="009A588B"/>
    <w:rsid w:val="009C3F85"/>
    <w:rsid w:val="00A7795F"/>
    <w:rsid w:val="00A77D78"/>
    <w:rsid w:val="00A87E21"/>
    <w:rsid w:val="00A94D6A"/>
    <w:rsid w:val="00AA4155"/>
    <w:rsid w:val="00AC2611"/>
    <w:rsid w:val="00B00C58"/>
    <w:rsid w:val="00B41C7B"/>
    <w:rsid w:val="00B44940"/>
    <w:rsid w:val="00B828E6"/>
    <w:rsid w:val="00BC73E3"/>
    <w:rsid w:val="00BD74A9"/>
    <w:rsid w:val="00BE3A3F"/>
    <w:rsid w:val="00BF705D"/>
    <w:rsid w:val="00C31DA5"/>
    <w:rsid w:val="00D75A07"/>
    <w:rsid w:val="00DA3B4F"/>
    <w:rsid w:val="00DF1F55"/>
    <w:rsid w:val="00E024B9"/>
    <w:rsid w:val="00E674A1"/>
    <w:rsid w:val="00E93A63"/>
    <w:rsid w:val="00E93FD7"/>
    <w:rsid w:val="00EA2846"/>
    <w:rsid w:val="00EA2DA4"/>
    <w:rsid w:val="00EB1262"/>
    <w:rsid w:val="00F121A1"/>
    <w:rsid w:val="00F45031"/>
    <w:rsid w:val="00F4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FE85A"/>
  <w15:chartTrackingRefBased/>
  <w15:docId w15:val="{06C861E6-BB97-471B-94CC-5498D473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77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0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C3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8B4"/>
  </w:style>
  <w:style w:type="paragraph" w:styleId="Footer">
    <w:name w:val="footer"/>
    <w:basedOn w:val="Normal"/>
    <w:link w:val="FooterChar"/>
    <w:uiPriority w:val="99"/>
    <w:unhideWhenUsed/>
    <w:rsid w:val="005C3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8B4"/>
  </w:style>
  <w:style w:type="character" w:customStyle="1" w:styleId="Heading2Char">
    <w:name w:val="Heading 2 Char"/>
    <w:basedOn w:val="DefaultParagraphFont"/>
    <w:link w:val="Heading2"/>
    <w:uiPriority w:val="9"/>
    <w:rsid w:val="005877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R. Scalia</dc:creator>
  <cp:keywords/>
  <dc:description/>
  <cp:lastModifiedBy>Alan Guan</cp:lastModifiedBy>
  <cp:revision>86</cp:revision>
  <dcterms:created xsi:type="dcterms:W3CDTF">2020-08-18T10:45:00Z</dcterms:created>
  <dcterms:modified xsi:type="dcterms:W3CDTF">2020-09-09T16:03:00Z</dcterms:modified>
</cp:coreProperties>
</file>